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7"/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Извещение о проведении открытого конкурса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b/>
          <w:bCs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white"/>
        </w:rPr>
        <w:t xml:space="preserve">по отбору управляющей организации для управления многоквартирными домами, </w:t>
      </w:r>
      <w:r>
        <w:rPr>
          <w:b/>
          <w:bCs/>
          <w:sz w:val="24"/>
          <w:szCs w:val="24"/>
          <w:highlight w:val="white"/>
        </w:rPr>
        <w:t xml:space="preserve">расположенными по </w:t>
      </w:r>
      <w:r>
        <w:rPr>
          <w:b/>
          <w:bCs/>
          <w:sz w:val="24"/>
          <w:szCs w:val="24"/>
          <w:highlight w:val="white"/>
        </w:rPr>
        <w:t xml:space="preserve">адресу.: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Иркутск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ая область, г. Тайшет,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мкр. Новый, д.2, д.3, д.4, д.5, д.6, д.7,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highlight w:val="white"/>
        </w:rPr>
        <w:t xml:space="preserve">объекты конкурса которых объединены в один лот.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b/>
          <w:bCs/>
          <w:highlight w:val="white"/>
        </w:rPr>
      </w:r>
    </w:p>
    <w:p>
      <w:pPr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right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10 июня 2026 года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1. Основание проведения открытого конкурса: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0" w:right="0" w:firstLine="901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color w:val="auto"/>
          <w:sz w:val="24"/>
          <w:szCs w:val="24"/>
          <w:highlight w:val="white"/>
        </w:rPr>
        <w:t xml:space="preserve">С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обственниками помещений в многоквартирных домах по адресу: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Иркутская область,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д.2, д.3, д.4, д.5, д.6, д.7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 не выбран способ</w:t>
      </w:r>
      <w:r>
        <w:rPr>
          <w:b w:val="0"/>
          <w:bCs w:val="0"/>
          <w:color w:val="auto"/>
          <w:sz w:val="24"/>
          <w:szCs w:val="24"/>
          <w:highlight w:val="white"/>
        </w:rPr>
        <w:t xml:space="preserve"> управления указанными  домами.</w:t>
      </w:r>
      <w:r>
        <w:rPr>
          <w:highlight w:val="white"/>
        </w:rPr>
      </w:r>
      <w:r>
        <w:rPr>
          <w:highlight w:val="white"/>
        </w:rPr>
      </w:r>
    </w:p>
    <w:p>
      <w:pPr>
        <w:pStyle w:val="91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-Гражданский кодекс Российской Федерации,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Жилищный кодекс Российской Федерации;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министрации Тайшетского муниципального округа от 8 июня 2026 года № 23 «О проведении открытого конкурса по отбору управляющей организации для управления  многоквартирными домами, расположенными по адресу: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д.2, д.3, д.4, д.5, д.6, д.7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(далее распоряжение №23).</w:t>
      </w:r>
      <w:r>
        <w:rPr>
          <w:highlight w:val="white"/>
        </w:rPr>
      </w:r>
      <w:r>
        <w:rPr>
          <w:highlight w:val="white"/>
        </w:rPr>
      </w:r>
    </w:p>
    <w:p>
      <w:pPr>
        <w:pStyle w:val="917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white"/>
        </w:rPr>
        <w:t xml:space="preserve">лефона организатора конкурса: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whit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white"/>
        </w:rPr>
        <w:t xml:space="preserve"> д.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, помещ.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, каб. 28, электронная почта:</w:t>
      </w:r>
      <w:r>
        <w:rPr>
          <w:sz w:val="24"/>
          <w:szCs w:val="24"/>
          <w:highlight w:val="white"/>
          <w:lang w:val="en-US"/>
        </w:rPr>
        <w:fldChar w:fldCharType="begin"/>
      </w:r>
      <w:r>
        <w:rPr>
          <w:sz w:val="24"/>
          <w:szCs w:val="24"/>
          <w:highlight w:val="white"/>
        </w:rPr>
        <w:instrText xml:space="preserve"> </w:instrText>
      </w:r>
      <w:r>
        <w:rPr>
          <w:sz w:val="24"/>
          <w:szCs w:val="24"/>
          <w:highlight w:val="white"/>
          <w:lang w:val="en-US"/>
        </w:rPr>
        <w:instrText xml:space="preserve">HYPERLINK</w:instrText>
      </w:r>
      <w:r>
        <w:rPr>
          <w:sz w:val="24"/>
          <w:szCs w:val="24"/>
          <w:highlight w:val="white"/>
        </w:rPr>
        <w:instrText xml:space="preserve"> "</w:instrText>
      </w:r>
      <w:r>
        <w:rPr>
          <w:sz w:val="24"/>
          <w:szCs w:val="24"/>
          <w:highlight w:val="white"/>
          <w:lang w:val="en-US"/>
        </w:rPr>
        <w:instrText xml:space="preserve">http</w:instrText>
      </w:r>
      <w:r>
        <w:rPr>
          <w:sz w:val="24"/>
          <w:szCs w:val="24"/>
          <w:highlight w:val="white"/>
        </w:rPr>
        <w:instrText xml:space="preserve">://</w:instrText>
      </w:r>
      <w:r>
        <w:rPr>
          <w:sz w:val="24"/>
          <w:szCs w:val="24"/>
          <w:highlight w:val="white"/>
          <w:lang w:val="en-US"/>
        </w:rPr>
        <w:instrText xml:space="preserve">www</w:instrText>
      </w:r>
      <w:r>
        <w:rPr>
          <w:sz w:val="24"/>
          <w:szCs w:val="24"/>
          <w:highlight w:val="white"/>
        </w:rPr>
        <w:instrText xml:space="preserve">.</w:instrText>
      </w:r>
      <w:r>
        <w:rPr>
          <w:sz w:val="24"/>
          <w:szCs w:val="24"/>
          <w:highlight w:val="white"/>
          <w:lang w:val="en-US"/>
        </w:rPr>
        <w:instrText xml:space="preserve">umitgp</w:instrText>
      </w:r>
      <w:r>
        <w:rPr>
          <w:sz w:val="24"/>
          <w:szCs w:val="24"/>
          <w:highlight w:val="white"/>
        </w:rPr>
        <w:instrText xml:space="preserve">@" </w:instrText>
      </w:r>
      <w:r>
        <w:rPr>
          <w:sz w:val="24"/>
          <w:szCs w:val="24"/>
          <w:highlight w:val="white"/>
          <w:lang w:val="en-US"/>
        </w:rPr>
        <w:fldChar w:fldCharType="separate"/>
      </w:r>
      <w:r>
        <w:rPr>
          <w:rStyle w:val="929"/>
          <w:sz w:val="24"/>
          <w:szCs w:val="24"/>
          <w:highlight w:val="white"/>
        </w:rPr>
        <w:t xml:space="preserve">.</w:t>
      </w:r>
      <w:r>
        <w:rPr>
          <w:rStyle w:val="929"/>
          <w:sz w:val="24"/>
          <w:szCs w:val="24"/>
          <w:highlight w:val="white"/>
        </w:rPr>
        <w:t xml:space="preserve">zkh.zkh@</w:t>
      </w:r>
      <w:r>
        <w:rPr>
          <w:sz w:val="24"/>
          <w:szCs w:val="24"/>
          <w:highlight w:val="white"/>
          <w:lang w:val="en-US"/>
        </w:rPr>
        <w:fldChar w:fldCharType="end"/>
      </w:r>
      <w:r>
        <w:rPr>
          <w:sz w:val="24"/>
          <w:szCs w:val="24"/>
          <w:highlight w:val="white"/>
          <w:lang w:val="en-US"/>
        </w:rPr>
        <w:t xml:space="preserve">mail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  <w:lang w:val="en-US"/>
        </w:rPr>
        <w:t xml:space="preserve">ru</w:t>
      </w:r>
      <w:r>
        <w:rPr>
          <w:sz w:val="24"/>
          <w:szCs w:val="24"/>
          <w:highlight w:val="white"/>
        </w:rPr>
        <w:t xml:space="preserve">., контактный телефон: 8(39563) 2-20-38, 2-04-27.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b/>
          <w:sz w:val="22"/>
          <w:szCs w:val="22"/>
          <w:highlight w:val="white"/>
        </w:rPr>
      </w:pPr>
      <w:r>
        <w:rPr>
          <w:b/>
          <w:sz w:val="24"/>
          <w:szCs w:val="24"/>
          <w:highlight w:val="white"/>
        </w:rPr>
        <w:t xml:space="preserve">3. </w:t>
      </w:r>
      <w:r>
        <w:rPr>
          <w:b/>
          <w:sz w:val="24"/>
          <w:szCs w:val="24"/>
          <w:highlight w:val="whit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  <w:highlight w:val="white"/>
        </w:rPr>
        <w:t xml:space="preserve">количество квартир, пло</w:t>
      </w:r>
      <w:r>
        <w:rPr>
          <w:b/>
          <w:sz w:val="24"/>
          <w:szCs w:val="24"/>
          <w:highlight w:val="white"/>
        </w:rPr>
        <w:t xml:space="preserve">щадь жилы</w:t>
      </w:r>
      <w:r>
        <w:rPr>
          <w:b/>
          <w:sz w:val="24"/>
          <w:szCs w:val="24"/>
          <w:highlight w:val="white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360"/>
        <w:jc w:val="both"/>
        <w:rPr>
          <w:sz w:val="22"/>
          <w:szCs w:val="22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  <w:highlight w:val="white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  <w:highlight w:val="white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  <w:highlight w:val="white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  <w:highlight w:val="white"/>
        </w:rPr>
        <w:t xml:space="preserve">приложении № 1 к </w:t>
      </w:r>
      <w:r>
        <w:rPr>
          <w:sz w:val="24"/>
          <w:szCs w:val="24"/>
          <w:highlight w:val="whit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утвержденной </w:t>
      </w:r>
      <w:r>
        <w:rPr>
          <w:sz w:val="24"/>
          <w:szCs w:val="24"/>
          <w:highlight w:val="white"/>
        </w:rPr>
        <w:t xml:space="preserve">распоряжением № 23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917"/>
        <w:ind w:firstLine="0"/>
        <w:jc w:val="both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4. </w:t>
      </w:r>
      <w:r>
        <w:rPr>
          <w:b/>
          <w:sz w:val="24"/>
          <w:szCs w:val="24"/>
          <w:highlight w:val="white"/>
        </w:rPr>
        <w:t xml:space="preserve">Перечень обязательных работ и услуг </w:t>
      </w:r>
      <w:r>
        <w:rPr>
          <w:sz w:val="24"/>
          <w:szCs w:val="24"/>
          <w:highlight w:val="white"/>
        </w:rPr>
        <w:t xml:space="preserve">по содержанию и ремонту общего имущества собственников </w:t>
      </w:r>
      <w:r>
        <w:rPr>
          <w:sz w:val="24"/>
          <w:szCs w:val="24"/>
          <w:highlight w:val="white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  <w:highlight w:val="white"/>
        </w:rPr>
        <w:t xml:space="preserve">приложении № 2 к </w:t>
      </w:r>
      <w:r>
        <w:rPr>
          <w:sz w:val="24"/>
          <w:szCs w:val="24"/>
          <w:highlight w:val="white"/>
        </w:rPr>
        <w:t xml:space="preserve">конкурсной документации по открытому конкурсу по отбору управляющей организации для управления многоквартирными домами</w:t>
      </w:r>
      <w:r>
        <w:rPr>
          <w:sz w:val="24"/>
          <w:szCs w:val="24"/>
          <w:highlight w:val="white"/>
        </w:rPr>
        <w:t xml:space="preserve">, утвержденной </w:t>
      </w:r>
      <w:r>
        <w:rPr>
          <w:sz w:val="24"/>
          <w:szCs w:val="24"/>
          <w:highlight w:val="white"/>
        </w:rPr>
        <w:t xml:space="preserve">распоряжением № 23.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firstLine="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5</w:t>
      </w:r>
      <w:r>
        <w:rPr>
          <w:b/>
          <w:sz w:val="24"/>
          <w:szCs w:val="24"/>
          <w:highlight w:val="white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д.2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д.3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31,71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д.4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31,71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д.5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д.6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 xml:space="preserve">Иркутская область г. 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д.7 </w:t>
      </w:r>
      <w:r>
        <w:rPr>
          <w:sz w:val="24"/>
          <w:szCs w:val="24"/>
          <w:highlight w:val="white"/>
        </w:rPr>
        <w:t xml:space="preserve"> – </w:t>
      </w:r>
      <w:r>
        <w:rPr>
          <w:sz w:val="24"/>
          <w:szCs w:val="24"/>
          <w:highlight w:val="white"/>
        </w:rPr>
        <w:t xml:space="preserve">23,96 </w:t>
      </w:r>
      <w:r>
        <w:rPr>
          <w:sz w:val="24"/>
          <w:szCs w:val="24"/>
          <w:highlight w:val="white"/>
        </w:rPr>
        <w:t xml:space="preserve">руб.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 1</w:t>
      </w:r>
      <w:r>
        <w:rPr>
          <w:sz w:val="24"/>
          <w:szCs w:val="24"/>
          <w:highlight w:val="white"/>
        </w:rPr>
        <w:t xml:space="preserve"> кв.м. общей пл</w:t>
      </w:r>
      <w:r>
        <w:rPr>
          <w:sz w:val="24"/>
          <w:szCs w:val="24"/>
          <w:highlight w:val="white"/>
        </w:rPr>
        <w:t xml:space="preserve">ощади в месяц;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6</w:t>
      </w:r>
      <w:r>
        <w:rPr>
          <w:b/>
          <w:sz w:val="24"/>
          <w:szCs w:val="24"/>
          <w:highlight w:val="white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firstLine="708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-отопление;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горячее водоснабжение;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холодное водоснабжение;</w:t>
      </w:r>
      <w:r>
        <w:rPr>
          <w:sz w:val="24"/>
          <w:szCs w:val="24"/>
          <w:highlight w:val="white"/>
        </w:rPr>
        <w:t xml:space="preserve"> водоотведение</w:t>
      </w:r>
      <w:r>
        <w:rPr>
          <w:sz w:val="24"/>
          <w:szCs w:val="24"/>
          <w:highlight w:val="white"/>
        </w:rPr>
        <w:t xml:space="preserve">; </w:t>
      </w:r>
      <w:r>
        <w:rPr>
          <w:sz w:val="24"/>
          <w:szCs w:val="24"/>
          <w:highlight w:val="white"/>
        </w:rPr>
        <w:t xml:space="preserve">электроснабжение;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обращение с твердыми коммунальными отходами.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firstLine="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7</w:t>
      </w:r>
      <w:r>
        <w:rPr>
          <w:b/>
          <w:sz w:val="24"/>
          <w:szCs w:val="24"/>
          <w:highlight w:val="white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whit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white"/>
        </w:rPr>
        <w:fldChar w:fldCharType="begin"/>
      </w:r>
      <w:r>
        <w:rPr>
          <w:rFonts w:ascii="Times New Roman" w:hAnsi="Times New Roman"/>
          <w:sz w:val="24"/>
          <w:szCs w:val="24"/>
          <w:highlight w:val="whit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white"/>
        </w:rPr>
        <w:fldChar w:fldCharType="separate"/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www</w:t>
      </w:r>
      <w:r>
        <w:rPr>
          <w:rStyle w:val="92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torgi</w:t>
      </w:r>
      <w:r>
        <w:rPr>
          <w:rStyle w:val="92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gov</w:t>
      </w:r>
      <w:r>
        <w:rPr>
          <w:rStyle w:val="92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29"/>
          <w:rFonts w:ascii="Times New Roman" w:hAnsi="Times New Roman"/>
          <w:sz w:val="24"/>
          <w:szCs w:val="24"/>
          <w:highlight w:val="whit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white"/>
        </w:rPr>
        <w:fldChar w:fldCharType="end"/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hyperlink r:id="rId10" w:tooltip="https://taishet.irkmo.ru/" w:history="1"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  <w:t xml:space="preserve">https://taishet.irk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  <w:t xml:space="preserve">mo.ru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  <w:t xml:space="preserve">/</w:t>
        </w:r>
        <w:r>
          <w:rPr>
            <w:rStyle w:val="929"/>
            <w:rFonts w:ascii="Times New Roman" w:hAnsi="Times New Roman" w:cs="Times New Roman"/>
            <w:sz w:val="24"/>
            <w:szCs w:val="24"/>
            <w:highlight w:val="white"/>
          </w:rPr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pStyle w:val="926"/>
        <w:ind w:firstLine="540"/>
        <w:jc w:val="both"/>
        <w:widowControl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7"/>
        <w:ind w:firstLine="0"/>
        <w:jc w:val="both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8</w:t>
      </w:r>
      <w:r>
        <w:rPr>
          <w:b/>
          <w:sz w:val="24"/>
          <w:szCs w:val="24"/>
          <w:highlight w:val="white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ind w:firstLine="540"/>
        <w:jc w:val="both"/>
        <w:rPr>
          <w:b w:val="0"/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  <w:highlight w:val="white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9</w:t>
      </w:r>
      <w:r>
        <w:rPr>
          <w:b/>
          <w:sz w:val="24"/>
          <w:szCs w:val="24"/>
          <w:highlight w:val="white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ind w:firstLine="708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whit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ind w:firstLine="70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1. Место, дата и время проведения конкурса: 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7"/>
        <w:ind w:firstLine="708"/>
        <w:jc w:val="both"/>
        <w:rPr>
          <w:b w:val="0"/>
          <w:bCs w:val="0"/>
          <w:sz w:val="24"/>
          <w:szCs w:val="24"/>
          <w:highlight w:val="white"/>
        </w:rP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whit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white"/>
        </w:rPr>
        <w:t xml:space="preserve">.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917"/>
        <w:ind w:right="-6" w:firstLine="0"/>
        <w:jc w:val="both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</w:t>
      </w:r>
      <w:r>
        <w:rPr>
          <w:b/>
          <w:sz w:val="24"/>
          <w:szCs w:val="24"/>
          <w:highlight w:val="white"/>
        </w:rPr>
        <w:t xml:space="preserve">2. Размер обеспечения заявки на участие в конкурсе: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39931,14 рублей (тридцать девять тысяч девятьсот тридцать один рубль 14 копеек)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eastAsia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white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Наименование получателя: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ИНН 3816038607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КПП 381601001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ОКТМО 25636101001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азначейский счет (корр.счет) 40102810145370000026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Единый казначейский счет (расчетн. счет) 03232643255360003400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ОКЦ №4 СибГУ Банк России//УФК по Иркутской области г. Иркутск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БИК 012520101 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л/с 92501060201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КБК 00000000000000000517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многоквартирным домом по адресу: Иркутская область, г.Тайшет,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мкр. Новый, д.2, д.3, д.4, д.5, д.6, д.7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, НДС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 облагается».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whit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муниципального округа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sectPr>
      <w:footerReference w:type="even" r:id="rId9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right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3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0">
    <w:name w:val="Heading 1"/>
    <w:basedOn w:val="917"/>
    <w:next w:val="917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rPr>
      <w:rFonts w:ascii="Arial" w:hAnsi="Arial" w:eastAsia="Arial" w:cs="Arial"/>
      <w:sz w:val="40"/>
      <w:szCs w:val="40"/>
    </w:rPr>
  </w:style>
  <w:style w:type="paragraph" w:styleId="742">
    <w:name w:val="Heading 2"/>
    <w:basedOn w:val="917"/>
    <w:next w:val="917"/>
    <w:link w:val="7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rPr>
      <w:rFonts w:ascii="Arial" w:hAnsi="Arial" w:eastAsia="Arial" w:cs="Arial"/>
      <w:sz w:val="34"/>
    </w:rPr>
  </w:style>
  <w:style w:type="paragraph" w:styleId="744">
    <w:name w:val="Heading 3"/>
    <w:basedOn w:val="917"/>
    <w:next w:val="917"/>
    <w:link w:val="7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rPr>
      <w:rFonts w:ascii="Arial" w:hAnsi="Arial" w:eastAsia="Arial" w:cs="Arial"/>
      <w:sz w:val="30"/>
      <w:szCs w:val="30"/>
    </w:rPr>
  </w:style>
  <w:style w:type="paragraph" w:styleId="746">
    <w:name w:val="Heading 4"/>
    <w:basedOn w:val="917"/>
    <w:next w:val="917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17"/>
    <w:next w:val="917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17"/>
    <w:next w:val="917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17"/>
    <w:next w:val="917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17"/>
    <w:next w:val="917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17"/>
    <w:next w:val="917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917"/>
    <w:uiPriority w:val="34"/>
    <w:qFormat/>
    <w:pPr>
      <w:contextualSpacing/>
      <w:ind w:left="720"/>
    </w:pPr>
  </w:style>
  <w:style w:type="paragraph" w:styleId="759">
    <w:name w:val="Title"/>
    <w:basedOn w:val="917"/>
    <w:next w:val="917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link w:val="759"/>
    <w:uiPriority w:val="10"/>
    <w:rPr>
      <w:sz w:val="48"/>
      <w:szCs w:val="48"/>
    </w:rPr>
  </w:style>
  <w:style w:type="paragraph" w:styleId="761">
    <w:name w:val="Subtitle"/>
    <w:basedOn w:val="917"/>
    <w:next w:val="917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link w:val="761"/>
    <w:uiPriority w:val="11"/>
    <w:rPr>
      <w:sz w:val="24"/>
      <w:szCs w:val="24"/>
    </w:rPr>
  </w:style>
  <w:style w:type="paragraph" w:styleId="763">
    <w:name w:val="Quote"/>
    <w:basedOn w:val="917"/>
    <w:next w:val="917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17"/>
    <w:next w:val="917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paragraph" w:styleId="767">
    <w:name w:val="Header"/>
    <w:basedOn w:val="917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Header Char"/>
    <w:link w:val="767"/>
    <w:uiPriority w:val="99"/>
  </w:style>
  <w:style w:type="paragraph" w:styleId="769">
    <w:name w:val="Footer"/>
    <w:basedOn w:val="917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>
    <w:name w:val="Footer Char"/>
    <w:link w:val="769"/>
    <w:uiPriority w:val="99"/>
  </w:style>
  <w:style w:type="paragraph" w:styleId="771">
    <w:name w:val="Caption"/>
    <w:basedOn w:val="917"/>
    <w:next w:val="9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2">
    <w:name w:val="Caption Char"/>
    <w:basedOn w:val="771"/>
    <w:link w:val="769"/>
    <w:uiPriority w:val="99"/>
  </w:style>
  <w:style w:type="table" w:styleId="77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9">
    <w:name w:val="Hyperlink"/>
    <w:uiPriority w:val="99"/>
    <w:unhideWhenUsed/>
    <w:rPr>
      <w:color w:val="0000ff" w:themeColor="hyperlink"/>
      <w:u w:val="single"/>
    </w:rPr>
  </w:style>
  <w:style w:type="paragraph" w:styleId="900">
    <w:name w:val="footnote text"/>
    <w:basedOn w:val="917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>
    <w:name w:val="Footnote Text Char"/>
    <w:link w:val="900"/>
    <w:uiPriority w:val="99"/>
    <w:rPr>
      <w:sz w:val="18"/>
    </w:rPr>
  </w:style>
  <w:style w:type="character" w:styleId="902">
    <w:name w:val="footnote reference"/>
    <w:uiPriority w:val="99"/>
    <w:unhideWhenUsed/>
    <w:rPr>
      <w:vertAlign w:val="superscript"/>
    </w:rPr>
  </w:style>
  <w:style w:type="paragraph" w:styleId="903">
    <w:name w:val="endnote text"/>
    <w:basedOn w:val="917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>
    <w:name w:val="Endnote Text Char"/>
    <w:link w:val="903"/>
    <w:uiPriority w:val="99"/>
    <w:rPr>
      <w:sz w:val="20"/>
    </w:rPr>
  </w:style>
  <w:style w:type="character" w:styleId="905">
    <w:name w:val="endnote reference"/>
    <w:uiPriority w:val="99"/>
    <w:semiHidden/>
    <w:unhideWhenUsed/>
    <w:rPr>
      <w:vertAlign w:val="superscript"/>
    </w:rPr>
  </w:style>
  <w:style w:type="paragraph" w:styleId="906">
    <w:name w:val="toc 1"/>
    <w:basedOn w:val="917"/>
    <w:next w:val="917"/>
    <w:uiPriority w:val="39"/>
    <w:unhideWhenUsed/>
    <w:pPr>
      <w:ind w:left="0" w:right="0" w:firstLine="0"/>
      <w:spacing w:after="57"/>
    </w:pPr>
  </w:style>
  <w:style w:type="paragraph" w:styleId="907">
    <w:name w:val="toc 2"/>
    <w:basedOn w:val="917"/>
    <w:next w:val="917"/>
    <w:uiPriority w:val="39"/>
    <w:unhideWhenUsed/>
    <w:pPr>
      <w:ind w:left="283" w:right="0" w:firstLine="0"/>
      <w:spacing w:after="57"/>
    </w:pPr>
  </w:style>
  <w:style w:type="paragraph" w:styleId="908">
    <w:name w:val="toc 3"/>
    <w:basedOn w:val="917"/>
    <w:next w:val="917"/>
    <w:uiPriority w:val="39"/>
    <w:unhideWhenUsed/>
    <w:pPr>
      <w:ind w:left="567" w:right="0" w:firstLine="0"/>
      <w:spacing w:after="57"/>
    </w:pPr>
  </w:style>
  <w:style w:type="paragraph" w:styleId="909">
    <w:name w:val="toc 4"/>
    <w:basedOn w:val="917"/>
    <w:next w:val="917"/>
    <w:uiPriority w:val="39"/>
    <w:unhideWhenUsed/>
    <w:pPr>
      <w:ind w:left="850" w:right="0" w:firstLine="0"/>
      <w:spacing w:after="57"/>
    </w:pPr>
  </w:style>
  <w:style w:type="paragraph" w:styleId="910">
    <w:name w:val="toc 5"/>
    <w:basedOn w:val="917"/>
    <w:next w:val="917"/>
    <w:uiPriority w:val="39"/>
    <w:unhideWhenUsed/>
    <w:pPr>
      <w:ind w:left="1134" w:right="0" w:firstLine="0"/>
      <w:spacing w:after="57"/>
    </w:pPr>
  </w:style>
  <w:style w:type="paragraph" w:styleId="911">
    <w:name w:val="toc 6"/>
    <w:basedOn w:val="917"/>
    <w:next w:val="917"/>
    <w:uiPriority w:val="39"/>
    <w:unhideWhenUsed/>
    <w:pPr>
      <w:ind w:left="1417" w:right="0" w:firstLine="0"/>
      <w:spacing w:after="57"/>
    </w:pPr>
  </w:style>
  <w:style w:type="paragraph" w:styleId="912">
    <w:name w:val="toc 7"/>
    <w:basedOn w:val="917"/>
    <w:next w:val="917"/>
    <w:uiPriority w:val="39"/>
    <w:unhideWhenUsed/>
    <w:pPr>
      <w:ind w:left="1701" w:right="0" w:firstLine="0"/>
      <w:spacing w:after="57"/>
    </w:pPr>
  </w:style>
  <w:style w:type="paragraph" w:styleId="913">
    <w:name w:val="toc 8"/>
    <w:basedOn w:val="917"/>
    <w:next w:val="917"/>
    <w:uiPriority w:val="39"/>
    <w:unhideWhenUsed/>
    <w:pPr>
      <w:ind w:left="1984" w:right="0" w:firstLine="0"/>
      <w:spacing w:after="57"/>
    </w:pPr>
  </w:style>
  <w:style w:type="paragraph" w:styleId="914">
    <w:name w:val="toc 9"/>
    <w:basedOn w:val="917"/>
    <w:next w:val="917"/>
    <w:uiPriority w:val="39"/>
    <w:unhideWhenUsed/>
    <w:pPr>
      <w:ind w:left="2268" w:right="0" w:firstLine="0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917"/>
    <w:next w:val="917"/>
    <w:uiPriority w:val="99"/>
    <w:unhideWhenUsed/>
    <w:pPr>
      <w:spacing w:after="0" w:afterAutospacing="0"/>
    </w:pPr>
  </w:style>
  <w:style w:type="paragraph" w:styleId="917" w:default="1">
    <w:name w:val="Normal"/>
    <w:next w:val="917"/>
    <w:link w:val="917"/>
    <w:qFormat/>
    <w:rPr>
      <w:sz w:val="24"/>
      <w:szCs w:val="24"/>
      <w:lang w:val="ru-RU" w:eastAsia="ru-RU" w:bidi="ar-SA"/>
    </w:rPr>
  </w:style>
  <w:style w:type="paragraph" w:styleId="918">
    <w:name w:val="Заголовок 1"/>
    <w:basedOn w:val="917"/>
    <w:next w:val="917"/>
    <w:link w:val="917"/>
    <w:qFormat/>
    <w:pPr>
      <w:jc w:val="center"/>
      <w:keepNext/>
      <w:outlineLvl w:val="0"/>
    </w:pPr>
    <w:rPr>
      <w:b/>
      <w:szCs w:val="20"/>
    </w:rPr>
  </w:style>
  <w:style w:type="paragraph" w:styleId="919">
    <w:name w:val="Заголовок 2"/>
    <w:basedOn w:val="917"/>
    <w:next w:val="917"/>
    <w:link w:val="917"/>
    <w:qFormat/>
    <w:pPr>
      <w:jc w:val="center"/>
      <w:keepNext/>
      <w:outlineLvl w:val="1"/>
    </w:pPr>
    <w:rPr>
      <w:b/>
      <w:sz w:val="28"/>
      <w:szCs w:val="20"/>
    </w:rPr>
  </w:style>
  <w:style w:type="paragraph" w:styleId="920">
    <w:name w:val="Заголовок 3"/>
    <w:basedOn w:val="917"/>
    <w:next w:val="917"/>
    <w:link w:val="917"/>
    <w:qFormat/>
    <w:pPr>
      <w:ind w:left="720"/>
      <w:keepNext/>
      <w:outlineLvl w:val="2"/>
    </w:pPr>
    <w:rPr>
      <w:b/>
      <w:szCs w:val="20"/>
    </w:rPr>
  </w:style>
  <w:style w:type="character" w:styleId="921">
    <w:name w:val="Основной шрифт абзаца"/>
    <w:next w:val="921"/>
    <w:link w:val="917"/>
    <w:semiHidden/>
  </w:style>
  <w:style w:type="table" w:styleId="922">
    <w:name w:val="Обычная таблица"/>
    <w:next w:val="922"/>
    <w:link w:val="917"/>
    <w:semiHidden/>
    <w:tblPr/>
  </w:style>
  <w:style w:type="numbering" w:styleId="923">
    <w:name w:val="Нет списка"/>
    <w:next w:val="923"/>
    <w:link w:val="917"/>
    <w:semiHidden/>
  </w:style>
  <w:style w:type="paragraph" w:styleId="924">
    <w:name w:val="Основной текст с отступом 2"/>
    <w:basedOn w:val="917"/>
    <w:next w:val="924"/>
    <w:link w:val="917"/>
    <w:pPr>
      <w:ind w:firstLine="720"/>
      <w:jc w:val="both"/>
    </w:pPr>
    <w:rPr>
      <w:szCs w:val="20"/>
    </w:rPr>
  </w:style>
  <w:style w:type="table" w:styleId="925">
    <w:name w:val="Сетка таблицы"/>
    <w:basedOn w:val="922"/>
    <w:next w:val="925"/>
    <w:link w:val="917"/>
    <w:tblPr/>
  </w:style>
  <w:style w:type="paragraph" w:styleId="926">
    <w:name w:val="ConsPlusNormal"/>
    <w:next w:val="926"/>
    <w:link w:val="91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27">
    <w:name w:val="Нижний колонтитул"/>
    <w:basedOn w:val="917"/>
    <w:next w:val="927"/>
    <w:link w:val="917"/>
    <w:pPr>
      <w:tabs>
        <w:tab w:val="center" w:pos="4677" w:leader="none"/>
        <w:tab w:val="right" w:pos="9355" w:leader="none"/>
      </w:tabs>
    </w:pPr>
  </w:style>
  <w:style w:type="character" w:styleId="928">
    <w:name w:val="Номер страницы"/>
    <w:basedOn w:val="921"/>
    <w:next w:val="928"/>
    <w:link w:val="917"/>
  </w:style>
  <w:style w:type="character" w:styleId="929">
    <w:name w:val="Гиперссылка"/>
    <w:basedOn w:val="921"/>
    <w:next w:val="929"/>
    <w:link w:val="917"/>
    <w:rPr>
      <w:color w:val="0000ff"/>
      <w:u w:val="single"/>
    </w:rPr>
  </w:style>
  <w:style w:type="paragraph" w:styleId="930">
    <w:name w:val="Основной текст"/>
    <w:basedOn w:val="917"/>
    <w:next w:val="930"/>
    <w:link w:val="917"/>
    <w:pPr>
      <w:jc w:val="both"/>
    </w:pPr>
    <w:rPr>
      <w:sz w:val="22"/>
      <w:szCs w:val="20"/>
    </w:rPr>
  </w:style>
  <w:style w:type="paragraph" w:styleId="931">
    <w:name w:val="Обычный (веб)"/>
    <w:basedOn w:val="917"/>
    <w:next w:val="931"/>
    <w:link w:val="91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32">
    <w:name w:val="Основной текст с отступом"/>
    <w:basedOn w:val="917"/>
    <w:next w:val="932"/>
    <w:link w:val="917"/>
    <w:pPr>
      <w:ind w:left="283"/>
      <w:spacing w:after="120"/>
    </w:pPr>
    <w:rPr>
      <w:sz w:val="22"/>
      <w:szCs w:val="20"/>
    </w:rPr>
  </w:style>
  <w:style w:type="paragraph" w:styleId="933">
    <w:name w:val="ConsPlusNonformat"/>
    <w:next w:val="933"/>
    <w:link w:val="91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4">
    <w:name w:val="ConsNormal"/>
    <w:next w:val="934"/>
    <w:link w:val="91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35">
    <w:name w:val="Верхний колонтитул"/>
    <w:basedOn w:val="917"/>
    <w:next w:val="935"/>
    <w:link w:val="91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36">
    <w:name w:val="No Spacing"/>
    <w:next w:val="936"/>
    <w:link w:val="917"/>
    <w:rPr>
      <w:rFonts w:ascii="Calibri" w:hAnsi="Calibri"/>
      <w:sz w:val="22"/>
      <w:szCs w:val="22"/>
      <w:lang w:val="ru-RU" w:eastAsia="ru-RU" w:bidi="ar-SA"/>
    </w:rPr>
  </w:style>
  <w:style w:type="paragraph" w:styleId="937">
    <w:name w:val="Стиль3"/>
    <w:basedOn w:val="924"/>
    <w:next w:val="937"/>
    <w:link w:val="91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38">
    <w:name w:val="Основной текст с отступом 3"/>
    <w:basedOn w:val="917"/>
    <w:next w:val="938"/>
    <w:link w:val="91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39">
    <w:name w:val="Название"/>
    <w:basedOn w:val="917"/>
    <w:next w:val="939"/>
    <w:link w:val="91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40">
    <w:name w:val="Style12"/>
    <w:basedOn w:val="917"/>
    <w:next w:val="940"/>
    <w:link w:val="917"/>
    <w:pPr>
      <w:jc w:val="both"/>
      <w:spacing w:line="250" w:lineRule="exact"/>
      <w:widowControl w:val="off"/>
    </w:pPr>
  </w:style>
  <w:style w:type="paragraph" w:styleId="941">
    <w:name w:val="Style16"/>
    <w:basedOn w:val="917"/>
    <w:next w:val="941"/>
    <w:link w:val="917"/>
    <w:pPr>
      <w:ind w:firstLine="624"/>
      <w:jc w:val="both"/>
      <w:spacing w:line="252" w:lineRule="exact"/>
      <w:widowControl w:val="off"/>
    </w:pPr>
  </w:style>
  <w:style w:type="paragraph" w:styleId="942">
    <w:name w:val="Style20"/>
    <w:basedOn w:val="917"/>
    <w:next w:val="942"/>
    <w:link w:val="917"/>
    <w:pPr>
      <w:ind w:firstLine="466"/>
      <w:jc w:val="both"/>
      <w:spacing w:line="259" w:lineRule="exact"/>
      <w:widowControl w:val="off"/>
    </w:pPr>
  </w:style>
  <w:style w:type="paragraph" w:styleId="943">
    <w:name w:val="Style22"/>
    <w:basedOn w:val="917"/>
    <w:next w:val="943"/>
    <w:link w:val="917"/>
    <w:pPr>
      <w:ind w:firstLine="552"/>
      <w:jc w:val="both"/>
      <w:spacing w:line="254" w:lineRule="exact"/>
      <w:widowControl w:val="off"/>
    </w:pPr>
  </w:style>
  <w:style w:type="character" w:styleId="944">
    <w:name w:val="Font Style25"/>
    <w:next w:val="944"/>
    <w:link w:val="917"/>
    <w:rPr>
      <w:rFonts w:ascii="Times New Roman" w:hAnsi="Times New Roman" w:cs="Times New Roman"/>
      <w:b/>
      <w:bCs/>
      <w:sz w:val="22"/>
      <w:szCs w:val="22"/>
    </w:rPr>
  </w:style>
  <w:style w:type="character" w:styleId="945">
    <w:name w:val="Font Style29"/>
    <w:next w:val="945"/>
    <w:link w:val="917"/>
    <w:rPr>
      <w:rFonts w:ascii="Times New Roman" w:hAnsi="Times New Roman" w:cs="Times New Roman"/>
      <w:sz w:val="22"/>
      <w:szCs w:val="22"/>
    </w:rPr>
  </w:style>
  <w:style w:type="paragraph" w:styleId="946">
    <w:name w:val="Style6"/>
    <w:basedOn w:val="917"/>
    <w:next w:val="946"/>
    <w:link w:val="917"/>
    <w:pPr>
      <w:ind w:firstLine="509"/>
      <w:jc w:val="both"/>
      <w:spacing w:line="254" w:lineRule="exact"/>
      <w:widowControl w:val="off"/>
    </w:pPr>
  </w:style>
  <w:style w:type="character" w:styleId="947" w:default="1">
    <w:name w:val="Default Paragraph Font"/>
    <w:uiPriority w:val="1"/>
    <w:semiHidden/>
    <w:unhideWhenUsed/>
  </w:style>
  <w:style w:type="numbering" w:styleId="948" w:default="1">
    <w:name w:val="No List"/>
    <w:uiPriority w:val="99"/>
    <w:semiHidden/>
    <w:unhideWhenUsed/>
  </w:style>
  <w:style w:type="table" w:styleId="9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23</cp:revision>
  <dcterms:created xsi:type="dcterms:W3CDTF">2024-10-31T08:01:00Z</dcterms:created>
  <dcterms:modified xsi:type="dcterms:W3CDTF">2026-06-15T04:49:46Z</dcterms:modified>
  <cp:version>786432</cp:version>
</cp:coreProperties>
</file>